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9B22B7" w:rsidTr="009878E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0353C" w:rsidRDefault="009B22B7" w:rsidP="009878EE">
            <w:pPr>
              <w:jc w:val="center"/>
              <w:rPr>
                <w:sz w:val="18"/>
                <w:szCs w:val="18"/>
              </w:rPr>
            </w:pPr>
            <w:r w:rsidRPr="0040353C">
              <w:rPr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9B22B7" w:rsidRDefault="009B22B7" w:rsidP="009878EE">
            <w:pPr>
              <w:jc w:val="center"/>
            </w:pPr>
            <w:r>
              <w:rPr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9B22B7" w:rsidRPr="0040353C" w:rsidRDefault="009B22B7" w:rsidP="009878EE">
            <w:pPr>
              <w:rPr>
                <w:b/>
                <w:i/>
              </w:rPr>
            </w:pPr>
            <w:r w:rsidRPr="0040353C">
              <w:rPr>
                <w:b/>
                <w:i/>
                <w:sz w:val="48"/>
                <w:szCs w:val="48"/>
              </w:rPr>
              <w:t xml:space="preserve"> </w:t>
            </w:r>
            <w:r w:rsidRPr="0040353C">
              <w:rPr>
                <w:b/>
                <w:i/>
              </w:rPr>
              <w:t>Godišnje</w:t>
            </w:r>
          </w:p>
          <w:p w:rsidR="009B22B7" w:rsidRDefault="009B22B7" w:rsidP="009878EE">
            <w:pPr>
              <w:jc w:val="center"/>
            </w:pPr>
            <w:r w:rsidRPr="0040353C">
              <w:rPr>
                <w:b/>
                <w:i/>
                <w:sz w:val="48"/>
                <w:szCs w:val="48"/>
              </w:rPr>
              <w:t>PRIOPĆENJE</w:t>
            </w:r>
          </w:p>
        </w:tc>
      </w:tr>
      <w:tr w:rsidR="009B22B7" w:rsidTr="009878EE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0353C" w:rsidRDefault="009B22B7" w:rsidP="009878EE">
            <w:pPr>
              <w:jc w:val="center"/>
              <w:rPr>
                <w:sz w:val="18"/>
                <w:szCs w:val="18"/>
              </w:rPr>
            </w:pPr>
            <w:r w:rsidRPr="0040353C">
              <w:rPr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9B22B7" w:rsidRDefault="009B22B7" w:rsidP="009878EE"/>
        </w:tc>
        <w:tc>
          <w:tcPr>
            <w:tcW w:w="4092" w:type="dxa"/>
            <w:vMerge/>
            <w:shd w:val="clear" w:color="auto" w:fill="auto"/>
          </w:tcPr>
          <w:p w:rsidR="009B22B7" w:rsidRPr="0040353C" w:rsidRDefault="009B22B7" w:rsidP="009878EE">
            <w:pPr>
              <w:jc w:val="center"/>
              <w:rPr>
                <w:b/>
                <w:i/>
                <w:sz w:val="48"/>
                <w:szCs w:val="48"/>
              </w:rPr>
            </w:pPr>
          </w:p>
        </w:tc>
      </w:tr>
      <w:tr w:rsidR="009B22B7" w:rsidTr="009878EE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0353C" w:rsidRDefault="009B22B7" w:rsidP="009878EE">
            <w:pPr>
              <w:jc w:val="center"/>
              <w:rPr>
                <w:sz w:val="18"/>
                <w:szCs w:val="18"/>
              </w:rPr>
            </w:pPr>
            <w:r w:rsidRPr="0040353C">
              <w:rPr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9B22B7" w:rsidRDefault="009B22B7" w:rsidP="009878EE"/>
        </w:tc>
        <w:tc>
          <w:tcPr>
            <w:tcW w:w="4092" w:type="dxa"/>
            <w:vMerge/>
            <w:shd w:val="clear" w:color="auto" w:fill="auto"/>
          </w:tcPr>
          <w:p w:rsidR="009B22B7" w:rsidRDefault="009B22B7" w:rsidP="009878EE"/>
        </w:tc>
      </w:tr>
      <w:tr w:rsidR="009B22B7" w:rsidTr="009878EE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0353C" w:rsidRDefault="009B22B7" w:rsidP="009878EE">
            <w:pPr>
              <w:jc w:val="center"/>
              <w:rPr>
                <w:b/>
                <w:i/>
              </w:rPr>
            </w:pPr>
            <w:r w:rsidRPr="0040353C">
              <w:rPr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9B22B7" w:rsidRDefault="009B22B7" w:rsidP="009878EE"/>
        </w:tc>
        <w:tc>
          <w:tcPr>
            <w:tcW w:w="4092" w:type="dxa"/>
            <w:vMerge/>
            <w:shd w:val="clear" w:color="auto" w:fill="auto"/>
          </w:tcPr>
          <w:p w:rsidR="009B22B7" w:rsidRDefault="009B22B7" w:rsidP="009878EE"/>
        </w:tc>
      </w:tr>
    </w:tbl>
    <w:p w:rsidR="009B22B7" w:rsidRDefault="009B22B7" w:rsidP="009B22B7">
      <w:pPr>
        <w:spacing w:line="180" w:lineRule="exact"/>
      </w:pPr>
    </w:p>
    <w:p w:rsidR="009B22B7" w:rsidRDefault="009B22B7" w:rsidP="009B22B7">
      <w:pPr>
        <w:suppressAutoHyphens/>
        <w:spacing w:line="216" w:lineRule="exact"/>
        <w:jc w:val="both"/>
        <w:rPr>
          <w:spacing w:val="-2"/>
          <w:sz w:val="19"/>
        </w:rPr>
      </w:pPr>
      <w:r>
        <w:rPr>
          <w:spacing w:val="-2"/>
          <w:sz w:val="19"/>
        </w:rPr>
        <w:t>ZAGREB, Sv. ĆIRILA I METODA 5</w:t>
      </w:r>
      <w:r>
        <w:rPr>
          <w:spacing w:val="-2"/>
          <w:sz w:val="19"/>
        </w:rPr>
        <w:tab/>
        <w:t>TELEFON: 01/610-1950</w:t>
      </w:r>
      <w:r>
        <w:rPr>
          <w:spacing w:val="-2"/>
          <w:sz w:val="19"/>
        </w:rPr>
        <w:tab/>
        <w:t>TELEFAX: 01/485-1442</w:t>
      </w:r>
      <w:r>
        <w:rPr>
          <w:spacing w:val="-2"/>
          <w:sz w:val="19"/>
        </w:rPr>
        <w:tab/>
      </w:r>
      <w:r>
        <w:rPr>
          <w:spacing w:val="-2"/>
          <w:sz w:val="19"/>
        </w:rPr>
        <w:tab/>
      </w:r>
      <w:r>
        <w:rPr>
          <w:spacing w:val="-2"/>
          <w:sz w:val="19"/>
        </w:rPr>
        <w:tab/>
        <w:t>16. 03. 2015.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260"/>
      </w:tblGrid>
      <w:tr w:rsidR="009B22B7" w:rsidRPr="00BB4DA5" w:rsidTr="009878EE">
        <w:trPr>
          <w:trHeight w:val="454"/>
        </w:trPr>
        <w:tc>
          <w:tcPr>
            <w:tcW w:w="10260" w:type="dxa"/>
            <w:shd w:val="clear" w:color="auto" w:fill="DDDDDD"/>
            <w:vAlign w:val="center"/>
          </w:tcPr>
          <w:p w:rsidR="009B22B7" w:rsidRPr="0040353C" w:rsidRDefault="009B22B7" w:rsidP="009878EE">
            <w:pPr>
              <w:jc w:val="center"/>
              <w:rPr>
                <w:b/>
              </w:rPr>
            </w:pPr>
            <w:r w:rsidRPr="0040353C">
              <w:rPr>
                <w:b/>
              </w:rPr>
              <w:t>B R U T O  D O M A Ć I  P R O I Z V O D</w:t>
            </w:r>
          </w:p>
        </w:tc>
      </w:tr>
    </w:tbl>
    <w:p w:rsidR="009B22B7" w:rsidRDefault="009B22B7" w:rsidP="009B22B7">
      <w:pPr>
        <w:rPr>
          <w:b/>
        </w:rPr>
      </w:pPr>
      <w:r w:rsidRPr="00577BB4">
        <w:rPr>
          <w:sz w:val="20"/>
          <w:szCs w:val="20"/>
        </w:rPr>
        <w:t>www.zagreb.hr</w:t>
      </w:r>
      <w:r>
        <w:rPr>
          <w:b/>
        </w:rPr>
        <w:t xml:space="preserve"> </w:t>
      </w:r>
    </w:p>
    <w:p w:rsidR="009C4F27" w:rsidRDefault="009C4F27" w:rsidP="002449F8">
      <w:pPr>
        <w:outlineLvl w:val="0"/>
        <w:rPr>
          <w:b/>
          <w:sz w:val="22"/>
          <w:szCs w:val="22"/>
        </w:rPr>
      </w:pPr>
    </w:p>
    <w:p w:rsidR="009C4F27" w:rsidRDefault="009C4F27" w:rsidP="00893BE7">
      <w:pPr>
        <w:jc w:val="center"/>
        <w:outlineLvl w:val="0"/>
        <w:rPr>
          <w:b/>
          <w:sz w:val="22"/>
          <w:szCs w:val="22"/>
        </w:rPr>
      </w:pPr>
    </w:p>
    <w:p w:rsidR="00D14DF9" w:rsidRDefault="00D14DF9" w:rsidP="00CD414A">
      <w:pPr>
        <w:jc w:val="center"/>
        <w:outlineLvl w:val="0"/>
        <w:rPr>
          <w:b/>
          <w:sz w:val="22"/>
          <w:szCs w:val="22"/>
        </w:rPr>
      </w:pPr>
    </w:p>
    <w:p w:rsidR="007742A2" w:rsidRPr="007742A2" w:rsidRDefault="007742A2" w:rsidP="007742A2">
      <w:pPr>
        <w:widowControl w:val="0"/>
        <w:suppressAutoHyphens/>
        <w:ind w:left="567" w:right="567"/>
        <w:jc w:val="center"/>
        <w:outlineLvl w:val="0"/>
        <w:rPr>
          <w:rFonts w:asciiTheme="minorHAnsi" w:hAnsiTheme="minorHAnsi" w:cstheme="minorHAnsi"/>
          <w:spacing w:val="-2"/>
          <w:sz w:val="22"/>
          <w:szCs w:val="22"/>
          <w:lang w:eastAsia="en-US"/>
        </w:rPr>
      </w:pPr>
      <w:r w:rsidRPr="007742A2">
        <w:rPr>
          <w:rFonts w:asciiTheme="minorHAnsi" w:hAnsiTheme="minorHAnsi" w:cstheme="minorHAnsi"/>
          <w:spacing w:val="-2"/>
          <w:sz w:val="22"/>
          <w:szCs w:val="22"/>
          <w:lang w:eastAsia="en-US"/>
        </w:rPr>
        <w:t>BRUTO DOMAĆI PROIZVOD ZA GRAD ZAGREB</w:t>
      </w:r>
    </w:p>
    <w:p w:rsidR="007742A2" w:rsidRPr="007742A2" w:rsidRDefault="007742A2" w:rsidP="007742A2">
      <w:pPr>
        <w:widowControl w:val="0"/>
        <w:suppressAutoHyphens/>
        <w:ind w:left="567" w:right="567"/>
        <w:jc w:val="center"/>
        <w:outlineLvl w:val="0"/>
        <w:rPr>
          <w:rFonts w:asciiTheme="minorHAnsi" w:hAnsiTheme="minorHAnsi" w:cstheme="minorHAnsi"/>
          <w:spacing w:val="-2"/>
          <w:sz w:val="22"/>
          <w:szCs w:val="22"/>
          <w:lang w:eastAsia="en-US"/>
        </w:rPr>
      </w:pPr>
      <w:r w:rsidRPr="007742A2"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I REPUBLIKU HRVATSKU za razdoblje </w:t>
      </w:r>
      <w:r w:rsidRPr="007742A2">
        <w:rPr>
          <w:rFonts w:asciiTheme="minorHAnsi" w:hAnsiTheme="minorHAnsi" w:cstheme="minorHAnsi"/>
          <w:b/>
          <w:spacing w:val="-2"/>
          <w:sz w:val="22"/>
          <w:szCs w:val="22"/>
          <w:lang w:eastAsia="en-US"/>
        </w:rPr>
        <w:t>od 2000. do 2012.</w:t>
      </w:r>
    </w:p>
    <w:p w:rsidR="007742A2" w:rsidRPr="007742A2" w:rsidRDefault="007742A2" w:rsidP="007742A2">
      <w:pPr>
        <w:widowControl w:val="0"/>
        <w:suppressAutoHyphens/>
        <w:ind w:left="567" w:right="567"/>
        <w:jc w:val="both"/>
        <w:outlineLvl w:val="0"/>
        <w:rPr>
          <w:rFonts w:asciiTheme="minorHAnsi" w:hAnsiTheme="minorHAnsi" w:cstheme="minorHAnsi"/>
          <w:spacing w:val="-2"/>
          <w:sz w:val="22"/>
          <w:szCs w:val="22"/>
          <w:lang w:eastAsia="en-US"/>
        </w:rPr>
      </w:pPr>
    </w:p>
    <w:p w:rsidR="007742A2" w:rsidRPr="007742A2" w:rsidRDefault="007742A2" w:rsidP="007742A2">
      <w:pPr>
        <w:widowControl w:val="0"/>
        <w:suppressAutoHyphens/>
        <w:ind w:left="567" w:right="567"/>
        <w:jc w:val="both"/>
        <w:outlineLvl w:val="0"/>
        <w:rPr>
          <w:rFonts w:asciiTheme="minorHAnsi" w:hAnsiTheme="minorHAnsi" w:cstheme="minorHAnsi"/>
          <w:spacing w:val="-2"/>
          <w:sz w:val="22"/>
          <w:szCs w:val="22"/>
          <w:lang w:eastAsia="en-US"/>
        </w:rPr>
      </w:pPr>
    </w:p>
    <w:p w:rsidR="007742A2" w:rsidRPr="007742A2" w:rsidRDefault="00441E06" w:rsidP="007742A2">
      <w:pPr>
        <w:widowControl w:val="0"/>
        <w:suppressAutoHyphens/>
        <w:ind w:left="567" w:right="567" w:firstLine="720"/>
        <w:jc w:val="both"/>
        <w:outlineLvl w:val="0"/>
        <w:rPr>
          <w:rFonts w:asciiTheme="minorHAnsi" w:hAnsiTheme="minorHAnsi" w:cstheme="minorHAnsi"/>
          <w:spacing w:val="-2"/>
          <w:sz w:val="22"/>
          <w:szCs w:val="22"/>
          <w:lang w:eastAsia="en-US"/>
        </w:rPr>
      </w:pPr>
      <w:r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</w:t>
      </w:r>
      <w:r w:rsidR="007742A2" w:rsidRPr="007742A2">
        <w:rPr>
          <w:rFonts w:asciiTheme="minorHAnsi" w:hAnsiTheme="minorHAnsi" w:cstheme="minorHAnsi"/>
          <w:spacing w:val="-2"/>
          <w:sz w:val="22"/>
          <w:szCs w:val="22"/>
          <w:lang w:eastAsia="en-US"/>
        </w:rPr>
        <w:t>Iz priopćenja Državnog zavoda za statistiku naslova BRUTO DOMAĆI PROIZVOD ZA REPUBLIKU HRVATSKU, NKPJS - 2.RAZINA i ŽUPANIJE za razdoblje 2000.–2012.(ESA 2010), br. 12.1.6., od 13. ožujka 2015. (</w:t>
      </w:r>
      <w:hyperlink r:id="rId9" w:history="1">
        <w:r w:rsidR="007742A2" w:rsidRPr="007742A2">
          <w:rPr>
            <w:rFonts w:asciiTheme="minorHAnsi" w:hAnsiTheme="minorHAnsi" w:cstheme="minorHAnsi"/>
            <w:color w:val="0000FF"/>
            <w:spacing w:val="-2"/>
            <w:sz w:val="22"/>
            <w:szCs w:val="22"/>
            <w:u w:val="single"/>
            <w:lang w:eastAsia="en-US"/>
          </w:rPr>
          <w:t>www.dzs.hr</w:t>
        </w:r>
      </w:hyperlink>
      <w:r w:rsidR="007742A2" w:rsidRPr="007742A2">
        <w:rPr>
          <w:rFonts w:asciiTheme="minorHAnsi" w:hAnsiTheme="minorHAnsi" w:cstheme="minorHAnsi"/>
          <w:spacing w:val="-2"/>
          <w:sz w:val="22"/>
          <w:szCs w:val="22"/>
          <w:lang w:eastAsia="en-US"/>
        </w:rPr>
        <w:t>), prenosimo podatke za Republiku Hrvatsku i Grad Zagreb.</w:t>
      </w:r>
    </w:p>
    <w:p w:rsidR="007742A2" w:rsidRPr="007742A2" w:rsidRDefault="007742A2" w:rsidP="007742A2">
      <w:pPr>
        <w:widowControl w:val="0"/>
        <w:suppressAutoHyphens/>
        <w:ind w:left="567" w:right="567"/>
        <w:jc w:val="both"/>
        <w:outlineLvl w:val="0"/>
        <w:rPr>
          <w:rFonts w:asciiTheme="minorHAnsi" w:hAnsiTheme="minorHAnsi" w:cstheme="minorHAnsi"/>
          <w:spacing w:val="-2"/>
          <w:sz w:val="22"/>
          <w:szCs w:val="22"/>
          <w:lang w:eastAsia="en-US"/>
        </w:rPr>
      </w:pPr>
      <w:r w:rsidRPr="007742A2">
        <w:rPr>
          <w:rFonts w:asciiTheme="minorHAnsi" w:hAnsiTheme="minorHAnsi" w:cstheme="minorHAnsi"/>
          <w:spacing w:val="-2"/>
          <w:sz w:val="22"/>
          <w:szCs w:val="22"/>
          <w:lang w:eastAsia="en-US"/>
        </w:rPr>
        <w:tab/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  <w:lang w:eastAsia="en-US"/>
        </w:rPr>
        <w:t xml:space="preserve">             </w:t>
      </w:r>
      <w:r w:rsidRPr="007742A2">
        <w:rPr>
          <w:rFonts w:asciiTheme="minorHAnsi" w:hAnsiTheme="minorHAnsi" w:cstheme="minorHAnsi"/>
          <w:spacing w:val="-2"/>
          <w:sz w:val="22"/>
          <w:szCs w:val="22"/>
          <w:lang w:eastAsia="en-US"/>
        </w:rPr>
        <w:t>Podaci su revidirani i prikazani prema metodologiji Europskog sustava nacionalnih i regionalnih računa (ESA 2010). ESA 2010. zamijenila je postojeći metodološki okvir ESA 95 i u primjeni je od rujna 2014.</w:t>
      </w: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9C4F27" w:rsidRDefault="00073C25" w:rsidP="00CE11C5">
      <w:pPr>
        <w:jc w:val="center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504400" cy="3592800"/>
            <wp:effectExtent l="0" t="0" r="127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00" cy="35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27" w:rsidRDefault="009C4F27" w:rsidP="002449F8">
      <w:pPr>
        <w:outlineLvl w:val="0"/>
        <w:rPr>
          <w:b/>
          <w:sz w:val="22"/>
          <w:szCs w:val="22"/>
        </w:rPr>
      </w:pPr>
    </w:p>
    <w:p w:rsidR="00F01654" w:rsidRDefault="00073C25" w:rsidP="00F01654">
      <w:pPr>
        <w:jc w:val="center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>
            <wp:extent cx="5504400" cy="3744000"/>
            <wp:effectExtent l="0" t="0" r="127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400" cy="37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013954" w:rsidP="00F01654">
      <w:pPr>
        <w:jc w:val="center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734050" cy="2895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E5D" w:rsidRDefault="00E90F98" w:rsidP="00F01654">
      <w:pPr>
        <w:jc w:val="center"/>
        <w:outlineLvl w:val="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drawing>
          <wp:inline distT="0" distB="0" distL="0" distR="0">
            <wp:extent cx="5893200" cy="61704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200" cy="61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1E6" w:rsidRDefault="002551E6" w:rsidP="002551E6">
      <w:pPr>
        <w:jc w:val="center"/>
        <w:outlineLvl w:val="0"/>
        <w:rPr>
          <w:b/>
          <w:sz w:val="22"/>
          <w:szCs w:val="22"/>
        </w:rPr>
      </w:pPr>
    </w:p>
    <w:p w:rsidR="009C4F27" w:rsidRDefault="009C4F27" w:rsidP="00CE11C5">
      <w:pPr>
        <w:jc w:val="center"/>
        <w:outlineLvl w:val="0"/>
        <w:rPr>
          <w:b/>
          <w:sz w:val="22"/>
          <w:szCs w:val="22"/>
        </w:rPr>
      </w:pPr>
    </w:p>
    <w:p w:rsidR="009C4F27" w:rsidRDefault="009C4F27" w:rsidP="002449F8">
      <w:pPr>
        <w:outlineLvl w:val="0"/>
        <w:rPr>
          <w:b/>
          <w:sz w:val="22"/>
          <w:szCs w:val="22"/>
        </w:rPr>
      </w:pPr>
    </w:p>
    <w:p w:rsidR="00B03DFF" w:rsidRPr="001D2A48" w:rsidRDefault="00B03DFF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D2A48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1D2A48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03DFF" w:rsidRPr="001D2A48" w:rsidRDefault="00B03DFF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03DFF" w:rsidRPr="001D2A48" w:rsidRDefault="00B03DFF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03DFF" w:rsidRPr="001D2A48" w:rsidRDefault="005D0F95" w:rsidP="001D2A48">
      <w:pPr>
        <w:spacing w:line="276" w:lineRule="auto"/>
        <w:ind w:left="283" w:right="283"/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Izvori </w:t>
      </w:r>
      <w:r w:rsidR="00B03DFF" w:rsidRPr="001D2A48">
        <w:rPr>
          <w:rFonts w:asciiTheme="minorHAnsi" w:hAnsiTheme="minorHAnsi" w:cstheme="minorHAnsi"/>
          <w:b/>
          <w:i/>
          <w:sz w:val="22"/>
          <w:szCs w:val="22"/>
        </w:rPr>
        <w:t>prikupljanja podataka</w:t>
      </w: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</w:p>
    <w:p w:rsidR="00882001" w:rsidRPr="001D2A48" w:rsidRDefault="001D2A48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  <w:r w:rsidRPr="001D2A48"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2001" w:rsidRPr="001D2A48">
        <w:rPr>
          <w:rFonts w:asciiTheme="minorHAnsi" w:hAnsiTheme="minorHAnsi" w:cstheme="minorHAnsi"/>
          <w:sz w:val="22"/>
          <w:szCs w:val="22"/>
        </w:rPr>
        <w:t>Izvori podataka za obračun BDP-a i BDV-a za Republiku Hrvatsku i županije su podaci nacionalnih računa, godišnja istraživanja poslovnih statistika, godišnja istraživanja poljoprivrede, godišnji podaci o zaposlenima i plaćama, godišnji podaci Hrvatskog zavoda za mirovinsko osiguranje o broju osiguranih osoba, te razni drugi statistički podaci.</w:t>
      </w:r>
    </w:p>
    <w:p w:rsidR="00882001" w:rsidRPr="001D2A48" w:rsidRDefault="00882001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  <w:r w:rsidRPr="001D2A48">
        <w:rPr>
          <w:rFonts w:asciiTheme="minorHAnsi" w:hAnsiTheme="minorHAnsi" w:cstheme="minorHAnsi"/>
          <w:sz w:val="22"/>
          <w:szCs w:val="22"/>
        </w:rPr>
        <w:tab/>
      </w:r>
      <w:r w:rsidR="001D2A48">
        <w:rPr>
          <w:rFonts w:asciiTheme="minorHAnsi" w:hAnsiTheme="minorHAnsi" w:cstheme="minorHAnsi"/>
          <w:sz w:val="22"/>
          <w:szCs w:val="22"/>
        </w:rPr>
        <w:t xml:space="preserve">  </w:t>
      </w:r>
      <w:r w:rsidRPr="001D2A48">
        <w:rPr>
          <w:rFonts w:asciiTheme="minorHAnsi" w:hAnsiTheme="minorHAnsi" w:cstheme="minorHAnsi"/>
          <w:sz w:val="22"/>
          <w:szCs w:val="22"/>
        </w:rPr>
        <w:t>Podaci o BDP-u i BDV-u iskazani su prema NKD-2007. na razini područja, u tekućim cijenama.</w:t>
      </w:r>
    </w:p>
    <w:p w:rsidR="00882001" w:rsidRPr="001D2A48" w:rsidRDefault="00882001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2"/>
          <w:szCs w:val="22"/>
        </w:rPr>
      </w:pPr>
      <w:r w:rsidRPr="001D2A48">
        <w:rPr>
          <w:rFonts w:asciiTheme="minorHAnsi" w:hAnsiTheme="minorHAnsi" w:cstheme="minorHAnsi"/>
          <w:sz w:val="22"/>
          <w:szCs w:val="22"/>
        </w:rPr>
        <w:tab/>
      </w:r>
      <w:r w:rsidR="001D2A48">
        <w:rPr>
          <w:rFonts w:asciiTheme="minorHAnsi" w:hAnsiTheme="minorHAnsi" w:cstheme="minorHAnsi"/>
          <w:sz w:val="22"/>
          <w:szCs w:val="22"/>
        </w:rPr>
        <w:t xml:space="preserve">  </w:t>
      </w:r>
      <w:r w:rsidRPr="001D2A48">
        <w:rPr>
          <w:rFonts w:asciiTheme="minorHAnsi" w:hAnsiTheme="minorHAnsi" w:cstheme="minorHAnsi"/>
          <w:sz w:val="22"/>
          <w:szCs w:val="22"/>
        </w:rPr>
        <w:t>Procjena broja stanovnika izvršena je na temelju broja stanovnika iz podataka Popisa 2011.</w:t>
      </w:r>
    </w:p>
    <w:p w:rsidR="00B03DFF" w:rsidRDefault="00B03DFF" w:rsidP="00882001">
      <w:pPr>
        <w:ind w:left="283" w:right="283"/>
        <w:jc w:val="both"/>
        <w:rPr>
          <w:sz w:val="22"/>
          <w:szCs w:val="22"/>
        </w:rPr>
      </w:pPr>
    </w:p>
    <w:p w:rsidR="00E90F98" w:rsidRDefault="00E90F98" w:rsidP="00882001">
      <w:pPr>
        <w:ind w:left="283" w:right="283"/>
        <w:jc w:val="both"/>
        <w:rPr>
          <w:sz w:val="22"/>
          <w:szCs w:val="22"/>
        </w:rPr>
      </w:pPr>
      <w:bookmarkStart w:id="0" w:name="_GoBack"/>
      <w:bookmarkEnd w:id="0"/>
    </w:p>
    <w:p w:rsidR="003B27B1" w:rsidRDefault="003B27B1" w:rsidP="00E90F98">
      <w:pPr>
        <w:ind w:right="283"/>
        <w:jc w:val="both"/>
        <w:rPr>
          <w:sz w:val="22"/>
          <w:szCs w:val="22"/>
        </w:rPr>
      </w:pP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2"/>
          <w:szCs w:val="20"/>
        </w:rPr>
      </w:pPr>
      <w:r w:rsidRPr="001D2A48">
        <w:rPr>
          <w:rFonts w:asciiTheme="minorHAnsi" w:hAnsiTheme="minorHAnsi" w:cstheme="minorHAnsi"/>
          <w:b/>
          <w:i/>
          <w:sz w:val="22"/>
          <w:szCs w:val="20"/>
        </w:rPr>
        <w:lastRenderedPageBreak/>
        <w:t>Obuhvat</w:t>
      </w: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2"/>
          <w:szCs w:val="20"/>
        </w:rPr>
      </w:pP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2"/>
          <w:szCs w:val="20"/>
        </w:rPr>
      </w:pPr>
      <w:r w:rsidRPr="001D2A48">
        <w:rPr>
          <w:rFonts w:asciiTheme="minorHAnsi" w:hAnsiTheme="minorHAnsi" w:cstheme="minorHAnsi"/>
          <w:b/>
          <w:sz w:val="22"/>
          <w:szCs w:val="20"/>
        </w:rPr>
        <w:tab/>
      </w:r>
      <w:r w:rsidR="001D2A48" w:rsidRPr="001D2A48">
        <w:rPr>
          <w:rFonts w:asciiTheme="minorHAnsi" w:hAnsiTheme="minorHAnsi" w:cstheme="minorHAnsi"/>
          <w:b/>
          <w:sz w:val="22"/>
          <w:szCs w:val="20"/>
        </w:rPr>
        <w:t xml:space="preserve">     </w:t>
      </w:r>
      <w:r w:rsidR="001D2A48">
        <w:rPr>
          <w:rFonts w:asciiTheme="minorHAnsi" w:hAnsiTheme="minorHAnsi" w:cstheme="minorHAnsi"/>
          <w:b/>
          <w:sz w:val="22"/>
          <w:szCs w:val="20"/>
        </w:rPr>
        <w:t xml:space="preserve">  </w:t>
      </w:r>
      <w:r w:rsidRPr="001D2A48">
        <w:rPr>
          <w:rFonts w:asciiTheme="minorHAnsi" w:hAnsiTheme="minorHAnsi" w:cstheme="minorHAnsi"/>
          <w:sz w:val="22"/>
          <w:szCs w:val="20"/>
        </w:rPr>
        <w:t>Obračun obuhvaća sve djelatnosti slijedeći koncept Sustava nacionalnih računa (SNA 2008) i Europskog sustava nacionalnih računa (ESA 2010).</w:t>
      </w: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2"/>
          <w:szCs w:val="20"/>
        </w:rPr>
      </w:pP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2"/>
          <w:szCs w:val="20"/>
        </w:rPr>
      </w:pPr>
      <w:r w:rsidRPr="001D2A48">
        <w:rPr>
          <w:rFonts w:asciiTheme="minorHAnsi" w:hAnsiTheme="minorHAnsi" w:cstheme="minorHAnsi"/>
          <w:b/>
          <w:i/>
          <w:sz w:val="22"/>
          <w:szCs w:val="20"/>
        </w:rPr>
        <w:t>Definicije</w:t>
      </w: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2"/>
          <w:szCs w:val="20"/>
        </w:rPr>
      </w:pPr>
    </w:p>
    <w:p w:rsidR="00B03DFF" w:rsidRPr="001D2A48" w:rsidRDefault="001D2A48" w:rsidP="001D2A48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i/>
          <w:sz w:val="22"/>
          <w:szCs w:val="20"/>
        </w:rPr>
        <w:t xml:space="preserve">  </w:t>
      </w:r>
      <w:r w:rsidR="00B03DFF" w:rsidRPr="001D2A48">
        <w:rPr>
          <w:rFonts w:asciiTheme="minorHAnsi" w:hAnsiTheme="minorHAnsi" w:cstheme="minorHAnsi"/>
          <w:i/>
          <w:sz w:val="22"/>
          <w:szCs w:val="20"/>
        </w:rPr>
        <w:t>Regionalni računi</w:t>
      </w:r>
      <w:r w:rsidR="00B03DFF" w:rsidRPr="001D2A48">
        <w:rPr>
          <w:rFonts w:asciiTheme="minorHAnsi" w:hAnsiTheme="minorHAnsi" w:cstheme="minorHAnsi"/>
          <w:sz w:val="22"/>
          <w:szCs w:val="20"/>
        </w:rPr>
        <w:t xml:space="preserve"> su podsustav nacionalnih računa u kojima su predmeti razmatranja posebne prostorne jedinice za statistiku (u ovom slučaju županije). Korišteni su isti koncepti kao i u nacionalnim računima. </w:t>
      </w:r>
    </w:p>
    <w:p w:rsidR="00B03DFF" w:rsidRPr="001D2A48" w:rsidRDefault="00B03DFF" w:rsidP="001D2A48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2"/>
          <w:szCs w:val="20"/>
        </w:rPr>
      </w:pPr>
    </w:p>
    <w:p w:rsidR="00B03DFF" w:rsidRPr="001D2A48" w:rsidRDefault="001D2A48" w:rsidP="001D2A48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i/>
          <w:sz w:val="22"/>
          <w:szCs w:val="20"/>
        </w:rPr>
        <w:t xml:space="preserve">  </w:t>
      </w:r>
      <w:r w:rsidR="00B03DFF" w:rsidRPr="001D2A48">
        <w:rPr>
          <w:rFonts w:asciiTheme="minorHAnsi" w:hAnsiTheme="minorHAnsi" w:cstheme="minorHAnsi"/>
          <w:i/>
          <w:sz w:val="22"/>
          <w:szCs w:val="20"/>
        </w:rPr>
        <w:t xml:space="preserve">Bruto domaći proizvod </w:t>
      </w:r>
      <w:r w:rsidR="00B03DFF" w:rsidRPr="001D2A48">
        <w:rPr>
          <w:rFonts w:asciiTheme="minorHAnsi" w:hAnsiTheme="minorHAnsi" w:cstheme="minorHAnsi"/>
          <w:sz w:val="22"/>
          <w:szCs w:val="20"/>
        </w:rPr>
        <w:t>u tržišnim cijenama, iskazuje vrijednost svih proizvedenih dobara i usluga rezidentnih jedinica, tj. zbroj</w:t>
      </w:r>
      <w:r w:rsidR="00B03DFF" w:rsidRPr="001D2A48">
        <w:rPr>
          <w:rFonts w:asciiTheme="minorHAnsi" w:hAnsiTheme="minorHAnsi" w:cstheme="minorHAnsi"/>
          <w:i/>
          <w:sz w:val="22"/>
          <w:szCs w:val="20"/>
        </w:rPr>
        <w:t xml:space="preserve"> dodanih vrijednosti po djelatnostima</w:t>
      </w:r>
      <w:r w:rsidR="00B03DFF" w:rsidRPr="001D2A48">
        <w:rPr>
          <w:rFonts w:asciiTheme="minorHAnsi" w:hAnsiTheme="minorHAnsi" w:cstheme="minorHAnsi"/>
          <w:sz w:val="22"/>
          <w:szCs w:val="20"/>
        </w:rPr>
        <w:t xml:space="preserve"> uz uključivanje u obračun na razini nacionalnog gospodarstva stavki koje nisu raspoređene po djelatnostima kao što su porezi na proizvode, minus subvencije na proizvode.</w:t>
      </w: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2"/>
          <w:szCs w:val="20"/>
        </w:rPr>
      </w:pP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2"/>
          <w:szCs w:val="20"/>
        </w:rPr>
      </w:pPr>
      <w:r w:rsidRPr="001D2A48">
        <w:rPr>
          <w:rFonts w:asciiTheme="minorHAnsi" w:hAnsiTheme="minorHAnsi" w:cstheme="minorHAnsi"/>
          <w:b/>
          <w:i/>
          <w:sz w:val="22"/>
          <w:szCs w:val="20"/>
        </w:rPr>
        <w:t>Ostala objašnjenja</w:t>
      </w: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2"/>
          <w:szCs w:val="20"/>
        </w:rPr>
      </w:pP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22"/>
          <w:szCs w:val="20"/>
        </w:rPr>
      </w:pPr>
      <w:r w:rsidRPr="001D2A48">
        <w:rPr>
          <w:rFonts w:asciiTheme="minorHAnsi" w:hAnsiTheme="minorHAnsi" w:cstheme="minorHAnsi"/>
          <w:sz w:val="22"/>
          <w:szCs w:val="20"/>
        </w:rPr>
        <w:tab/>
      </w:r>
      <w:r w:rsidR="001D2A48" w:rsidRPr="001D2A48">
        <w:rPr>
          <w:rFonts w:asciiTheme="minorHAnsi" w:hAnsiTheme="minorHAnsi" w:cstheme="minorHAnsi"/>
          <w:sz w:val="22"/>
          <w:szCs w:val="20"/>
        </w:rPr>
        <w:t xml:space="preserve">      </w:t>
      </w:r>
      <w:r w:rsidR="001D2A48">
        <w:rPr>
          <w:rFonts w:asciiTheme="minorHAnsi" w:hAnsiTheme="minorHAnsi" w:cstheme="minorHAnsi"/>
          <w:sz w:val="22"/>
          <w:szCs w:val="20"/>
        </w:rPr>
        <w:t xml:space="preserve">    </w:t>
      </w:r>
      <w:r w:rsidRPr="001D2A48">
        <w:rPr>
          <w:rFonts w:asciiTheme="minorHAnsi" w:hAnsiTheme="minorHAnsi" w:cstheme="minorHAnsi"/>
          <w:sz w:val="22"/>
          <w:szCs w:val="20"/>
        </w:rPr>
        <w:t>BDP i BDV za Republiku Hrvatsku i županije obračunani su primjenom indirektne metode. Nacionalne vrijednosti BDV-a po djelatnostima raspoređene su prema NKPJS-u 2012. – 2. ra</w:t>
      </w:r>
      <w:r w:rsidR="005D0F95">
        <w:rPr>
          <w:rFonts w:asciiTheme="minorHAnsi" w:hAnsiTheme="minorHAnsi" w:cstheme="minorHAnsi"/>
          <w:sz w:val="22"/>
          <w:szCs w:val="20"/>
        </w:rPr>
        <w:t>zina i županija</w:t>
      </w:r>
      <w:r w:rsidRPr="001D2A48">
        <w:rPr>
          <w:rFonts w:asciiTheme="minorHAnsi" w:hAnsiTheme="minorHAnsi" w:cstheme="minorHAnsi"/>
          <w:sz w:val="22"/>
          <w:szCs w:val="20"/>
        </w:rPr>
        <w:t xml:space="preserve"> primjenom odgovarajućih ključeva raspodjele.</w:t>
      </w:r>
    </w:p>
    <w:p w:rsidR="00B03DFF" w:rsidRPr="001D2A48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2"/>
          <w:szCs w:val="20"/>
        </w:rPr>
      </w:pPr>
    </w:p>
    <w:p w:rsidR="00B03DFF" w:rsidRPr="001D2A48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2"/>
          <w:szCs w:val="20"/>
        </w:rPr>
      </w:pPr>
      <w:r w:rsidRPr="001D2A48">
        <w:rPr>
          <w:rFonts w:asciiTheme="minorHAnsi" w:hAnsiTheme="minorHAnsi" w:cstheme="minorHAnsi"/>
          <w:b/>
          <w:i/>
          <w:sz w:val="22"/>
          <w:szCs w:val="20"/>
        </w:rPr>
        <w:t>Kratice</w:t>
      </w:r>
    </w:p>
    <w:p w:rsidR="00B03DFF" w:rsidRPr="001D2A48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2"/>
          <w:szCs w:val="20"/>
        </w:rPr>
      </w:pPr>
    </w:p>
    <w:p w:rsidR="00B03DFF" w:rsidRPr="001D2A48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2"/>
          <w:szCs w:val="20"/>
        </w:rPr>
      </w:pPr>
      <w:r w:rsidRPr="001D2A48">
        <w:rPr>
          <w:rFonts w:asciiTheme="minorHAnsi" w:hAnsiTheme="minorHAnsi" w:cstheme="minorHAnsi"/>
          <w:sz w:val="22"/>
          <w:szCs w:val="20"/>
        </w:rPr>
        <w:t>BDP</w:t>
      </w:r>
      <w:r w:rsidRPr="001D2A48">
        <w:rPr>
          <w:rFonts w:asciiTheme="minorHAnsi" w:hAnsiTheme="minorHAnsi" w:cstheme="minorHAnsi"/>
          <w:sz w:val="22"/>
          <w:szCs w:val="20"/>
        </w:rPr>
        <w:tab/>
      </w:r>
      <w:r w:rsidRPr="001D2A48">
        <w:rPr>
          <w:rFonts w:asciiTheme="minorHAnsi" w:hAnsiTheme="minorHAnsi" w:cstheme="minorHAnsi"/>
          <w:sz w:val="22"/>
          <w:szCs w:val="20"/>
        </w:rPr>
        <w:tab/>
        <w:t>bruto domaći proizvod</w:t>
      </w:r>
    </w:p>
    <w:p w:rsidR="00B03DFF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2"/>
          <w:szCs w:val="20"/>
        </w:rPr>
      </w:pPr>
      <w:r w:rsidRPr="001D2A48">
        <w:rPr>
          <w:rFonts w:asciiTheme="minorHAnsi" w:hAnsiTheme="minorHAnsi" w:cstheme="minorHAnsi"/>
          <w:sz w:val="22"/>
          <w:szCs w:val="20"/>
        </w:rPr>
        <w:t>BDV</w:t>
      </w:r>
      <w:r w:rsidRPr="001D2A48">
        <w:rPr>
          <w:rFonts w:asciiTheme="minorHAnsi" w:hAnsiTheme="minorHAnsi" w:cstheme="minorHAnsi"/>
          <w:sz w:val="22"/>
          <w:szCs w:val="20"/>
        </w:rPr>
        <w:tab/>
      </w:r>
      <w:r w:rsidRPr="001D2A48">
        <w:rPr>
          <w:rFonts w:asciiTheme="minorHAnsi" w:hAnsiTheme="minorHAnsi" w:cstheme="minorHAnsi"/>
          <w:sz w:val="22"/>
          <w:szCs w:val="20"/>
        </w:rPr>
        <w:tab/>
        <w:t>bruto dodana vrijednost</w:t>
      </w:r>
    </w:p>
    <w:p w:rsidR="005D0F95" w:rsidRPr="001D2A48" w:rsidRDefault="005D0F95" w:rsidP="001D2A48">
      <w:pPr>
        <w:spacing w:line="276" w:lineRule="auto"/>
        <w:ind w:left="283" w:right="283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NKD 2007     Nacionalna klasifikacija djelatnosti 2007.</w:t>
      </w:r>
    </w:p>
    <w:p w:rsidR="00B03DFF" w:rsidRPr="001D2A48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2"/>
          <w:szCs w:val="20"/>
        </w:rPr>
      </w:pPr>
      <w:r w:rsidRPr="001D2A48">
        <w:rPr>
          <w:rFonts w:asciiTheme="minorHAnsi" w:hAnsiTheme="minorHAnsi" w:cstheme="minorHAnsi"/>
          <w:sz w:val="22"/>
          <w:szCs w:val="20"/>
        </w:rPr>
        <w:t>NKPJS 2012</w:t>
      </w:r>
      <w:r w:rsidRPr="001D2A48">
        <w:rPr>
          <w:rFonts w:asciiTheme="minorHAnsi" w:hAnsiTheme="minorHAnsi" w:cstheme="minorHAnsi"/>
          <w:sz w:val="22"/>
          <w:szCs w:val="20"/>
        </w:rPr>
        <w:tab/>
        <w:t>Nacionalna klasifikacija prostornih jedinica za statistiku 2012</w:t>
      </w:r>
    </w:p>
    <w:p w:rsidR="00B03DFF" w:rsidRPr="001D2A48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2"/>
          <w:szCs w:val="20"/>
        </w:rPr>
      </w:pPr>
      <w:r w:rsidRPr="001D2A48">
        <w:rPr>
          <w:rFonts w:asciiTheme="minorHAnsi" w:hAnsiTheme="minorHAnsi" w:cstheme="minorHAnsi"/>
          <w:sz w:val="22"/>
          <w:szCs w:val="20"/>
        </w:rPr>
        <w:t>ESA 2010</w:t>
      </w:r>
      <w:r w:rsidRPr="001D2A48">
        <w:rPr>
          <w:rFonts w:asciiTheme="minorHAnsi" w:hAnsiTheme="minorHAnsi" w:cstheme="minorHAnsi"/>
          <w:sz w:val="22"/>
          <w:szCs w:val="20"/>
        </w:rPr>
        <w:tab/>
        <w:t>Europski sustav nacionalnih i regionalnih računa 2010.</w:t>
      </w:r>
    </w:p>
    <w:p w:rsidR="00B03DFF" w:rsidRPr="001D2A48" w:rsidRDefault="00B03DFF" w:rsidP="001D2A48">
      <w:pPr>
        <w:spacing w:line="276" w:lineRule="auto"/>
        <w:ind w:left="283" w:right="283"/>
        <w:rPr>
          <w:rFonts w:asciiTheme="minorHAnsi" w:hAnsiTheme="minorHAnsi" w:cstheme="minorHAnsi"/>
          <w:sz w:val="22"/>
          <w:szCs w:val="20"/>
        </w:rPr>
      </w:pPr>
      <w:r w:rsidRPr="001D2A48">
        <w:rPr>
          <w:rFonts w:asciiTheme="minorHAnsi" w:hAnsiTheme="minorHAnsi" w:cstheme="minorHAnsi"/>
          <w:sz w:val="22"/>
          <w:szCs w:val="20"/>
        </w:rPr>
        <w:t>EUR</w:t>
      </w:r>
      <w:r w:rsidRPr="001D2A48">
        <w:rPr>
          <w:rFonts w:asciiTheme="minorHAnsi" w:hAnsiTheme="minorHAnsi" w:cstheme="minorHAnsi"/>
          <w:sz w:val="22"/>
          <w:szCs w:val="20"/>
        </w:rPr>
        <w:tab/>
      </w:r>
      <w:r w:rsidRPr="001D2A48">
        <w:rPr>
          <w:rFonts w:asciiTheme="minorHAnsi" w:hAnsiTheme="minorHAnsi" w:cstheme="minorHAnsi"/>
          <w:sz w:val="22"/>
          <w:szCs w:val="20"/>
        </w:rPr>
        <w:tab/>
        <w:t xml:space="preserve">euro </w:t>
      </w: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sz w:val="22"/>
          <w:szCs w:val="20"/>
        </w:rPr>
      </w:pPr>
      <w:r w:rsidRPr="001D2A48">
        <w:rPr>
          <w:rFonts w:asciiTheme="minorHAnsi" w:hAnsiTheme="minorHAnsi" w:cstheme="minorHAnsi"/>
          <w:b/>
          <w:sz w:val="22"/>
          <w:szCs w:val="20"/>
        </w:rPr>
        <w:t xml:space="preserve">          </w:t>
      </w:r>
    </w:p>
    <w:p w:rsidR="00B03DFF" w:rsidRPr="001D2A48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sz w:val="22"/>
          <w:szCs w:val="20"/>
        </w:rPr>
      </w:pPr>
    </w:p>
    <w:p w:rsidR="005D0F95" w:rsidRDefault="00B03DFF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18"/>
          <w:szCs w:val="20"/>
        </w:rPr>
      </w:pPr>
      <w:r w:rsidRPr="001D2A48">
        <w:rPr>
          <w:rFonts w:asciiTheme="minorHAnsi" w:hAnsiTheme="minorHAnsi" w:cstheme="minorHAnsi"/>
          <w:sz w:val="18"/>
          <w:szCs w:val="20"/>
          <w:vertAlign w:val="superscript"/>
        </w:rPr>
        <w:t>1</w:t>
      </w:r>
      <w:r w:rsidRPr="001D2A48">
        <w:rPr>
          <w:rFonts w:asciiTheme="minorHAnsi" w:hAnsiTheme="minorHAnsi" w:cstheme="minorHAnsi"/>
          <w:sz w:val="18"/>
          <w:szCs w:val="20"/>
        </w:rPr>
        <w:t xml:space="preserve">Izvor: Priopćenje Državnog zavoda za statistiku, Bruto domaći proizvod za Republiku Hrvatsku, NKPJS - 2. Razina i županije u 2012., </w:t>
      </w:r>
      <w:r w:rsidR="005D0F95">
        <w:rPr>
          <w:rFonts w:asciiTheme="minorHAnsi" w:hAnsiTheme="minorHAnsi" w:cstheme="minorHAnsi"/>
          <w:sz w:val="18"/>
          <w:szCs w:val="20"/>
        </w:rPr>
        <w:t xml:space="preserve"> </w:t>
      </w:r>
    </w:p>
    <w:p w:rsidR="00B03DFF" w:rsidRPr="001D2A48" w:rsidRDefault="005D0F95" w:rsidP="001D2A48">
      <w:pPr>
        <w:spacing w:line="276" w:lineRule="auto"/>
        <w:ind w:left="283" w:right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 xml:space="preserve">            </w:t>
      </w:r>
      <w:r w:rsidR="00B03DFF" w:rsidRPr="001D2A48">
        <w:rPr>
          <w:rFonts w:asciiTheme="minorHAnsi" w:hAnsiTheme="minorHAnsi" w:cstheme="minorHAnsi"/>
          <w:sz w:val="18"/>
          <w:szCs w:val="20"/>
        </w:rPr>
        <w:t xml:space="preserve">br. 12.1.6., od 13. </w:t>
      </w:r>
      <w:r>
        <w:rPr>
          <w:rFonts w:asciiTheme="minorHAnsi" w:hAnsiTheme="minorHAnsi" w:cstheme="minorHAnsi"/>
          <w:sz w:val="18"/>
          <w:szCs w:val="20"/>
        </w:rPr>
        <w:t xml:space="preserve">ožujak </w:t>
      </w:r>
      <w:r w:rsidR="00B03DFF" w:rsidRPr="001D2A48">
        <w:rPr>
          <w:rFonts w:asciiTheme="minorHAnsi" w:hAnsiTheme="minorHAnsi" w:cstheme="minorHAnsi"/>
          <w:sz w:val="18"/>
          <w:szCs w:val="20"/>
        </w:rPr>
        <w:t xml:space="preserve">2015. </w:t>
      </w:r>
    </w:p>
    <w:p w:rsidR="00C27885" w:rsidRPr="00E33748" w:rsidRDefault="00005CE3" w:rsidP="002551E6">
      <w:pPr>
        <w:ind w:left="142" w:right="423" w:firstLine="425"/>
        <w:jc w:val="both"/>
        <w:outlineLvl w:val="0"/>
        <w:rPr>
          <w:b/>
          <w:sz w:val="18"/>
          <w:szCs w:val="18"/>
        </w:rPr>
      </w:pPr>
      <w:r w:rsidRPr="00E33748">
        <w:rPr>
          <w:sz w:val="18"/>
          <w:szCs w:val="18"/>
        </w:rPr>
        <w:t xml:space="preserve"> </w:t>
      </w:r>
    </w:p>
    <w:p w:rsidR="00DE00F6" w:rsidRDefault="00DE00F6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DE00F6" w:rsidRDefault="00DE00F6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9C4F27" w:rsidRDefault="009C4F27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CE11C5" w:rsidRDefault="00C27885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</w:p>
    <w:p w:rsidR="00CE11C5" w:rsidRDefault="00CE11C5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B03DFF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B03DFF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B03DFF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B03DFF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B03DFF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B03DFF" w:rsidRDefault="00B03DFF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CE11C5" w:rsidRDefault="00CE11C5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CE11C5" w:rsidRDefault="00CE11C5" w:rsidP="002551E6">
      <w:pPr>
        <w:pBdr>
          <w:bottom w:val="single" w:sz="4" w:space="1" w:color="auto"/>
        </w:pBdr>
        <w:ind w:left="142" w:right="423" w:firstLine="425"/>
        <w:jc w:val="both"/>
        <w:rPr>
          <w:b/>
          <w:sz w:val="18"/>
          <w:szCs w:val="18"/>
        </w:rPr>
      </w:pPr>
    </w:p>
    <w:p w:rsidR="00CE11C5" w:rsidRPr="001D2A48" w:rsidRDefault="00CE11C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27885" w:rsidRPr="001D2A48" w:rsidRDefault="00C27885" w:rsidP="002551E6">
      <w:pPr>
        <w:pBdr>
          <w:bottom w:val="single" w:sz="4" w:space="1" w:color="auto"/>
        </w:pBdr>
        <w:ind w:left="142" w:right="423" w:firstLine="425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D2A48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093691" w:rsidRPr="001D2A48" w:rsidRDefault="002A5F02" w:rsidP="002551E6">
      <w:pPr>
        <w:ind w:left="142" w:right="423" w:firstLine="425"/>
        <w:jc w:val="both"/>
        <w:outlineLvl w:val="0"/>
        <w:rPr>
          <w:rFonts w:asciiTheme="minorHAnsi" w:hAnsiTheme="minorHAnsi" w:cstheme="minorHAnsi"/>
          <w:b/>
          <w:sz w:val="20"/>
          <w:szCs w:val="22"/>
        </w:rPr>
      </w:pPr>
      <w:r w:rsidRPr="001D2A48">
        <w:rPr>
          <w:rFonts w:asciiTheme="minorHAnsi" w:hAnsiTheme="minorHAnsi" w:cstheme="minorHAnsi"/>
          <w:b/>
          <w:sz w:val="18"/>
          <w:szCs w:val="20"/>
        </w:rPr>
        <w:t xml:space="preserve">   </w:t>
      </w:r>
      <w:r w:rsidR="00C27885" w:rsidRPr="001D2A48">
        <w:rPr>
          <w:rFonts w:asciiTheme="minorHAnsi" w:hAnsiTheme="minorHAnsi" w:cstheme="minorHAnsi"/>
          <w:b/>
          <w:sz w:val="20"/>
          <w:szCs w:val="22"/>
        </w:rPr>
        <w:t>MOLIMO KORISNIKE PRIOPĆENJA DA PRILIKOM KORIŠTENJA PODATAKA OBVEZNO NAVEDU IZVOR.</w:t>
      </w:r>
    </w:p>
    <w:sectPr w:rsidR="00093691" w:rsidRPr="001D2A48" w:rsidSect="009318B8">
      <w:footerReference w:type="even" r:id="rId14"/>
      <w:footerReference w:type="default" r:id="rId15"/>
      <w:pgSz w:w="11906" w:h="16838"/>
      <w:pgMar w:top="1134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C5" w:rsidRDefault="00CE11C5">
      <w:r>
        <w:separator/>
      </w:r>
    </w:p>
  </w:endnote>
  <w:endnote w:type="continuationSeparator" w:id="0">
    <w:p w:rsidR="00CE11C5" w:rsidRDefault="00CE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C5" w:rsidRDefault="00CE11C5" w:rsidP="0036606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11C5" w:rsidRDefault="00CE11C5" w:rsidP="00B22C8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C5" w:rsidRPr="007B0385" w:rsidRDefault="00CE11C5" w:rsidP="00366069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  <w:r w:rsidRPr="007B0385">
      <w:rPr>
        <w:rStyle w:val="PageNumber"/>
        <w:sz w:val="20"/>
        <w:szCs w:val="20"/>
      </w:rPr>
      <w:fldChar w:fldCharType="begin"/>
    </w:r>
    <w:r w:rsidRPr="007B0385">
      <w:rPr>
        <w:rStyle w:val="PageNumber"/>
        <w:sz w:val="20"/>
        <w:szCs w:val="20"/>
      </w:rPr>
      <w:instrText xml:space="preserve">PAGE  </w:instrText>
    </w:r>
    <w:r w:rsidRPr="007B0385">
      <w:rPr>
        <w:rStyle w:val="PageNumber"/>
        <w:sz w:val="20"/>
        <w:szCs w:val="20"/>
      </w:rPr>
      <w:fldChar w:fldCharType="separate"/>
    </w:r>
    <w:r w:rsidR="00E90F98">
      <w:rPr>
        <w:rStyle w:val="PageNumber"/>
        <w:noProof/>
        <w:sz w:val="20"/>
        <w:szCs w:val="20"/>
      </w:rPr>
      <w:t>2</w:t>
    </w:r>
    <w:r w:rsidRPr="007B0385">
      <w:rPr>
        <w:rStyle w:val="PageNumber"/>
        <w:sz w:val="20"/>
        <w:szCs w:val="20"/>
      </w:rPr>
      <w:fldChar w:fldCharType="end"/>
    </w:r>
  </w:p>
  <w:p w:rsidR="00CE11C5" w:rsidRDefault="00CE11C5" w:rsidP="00B22C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C5" w:rsidRDefault="00CE11C5">
      <w:r>
        <w:separator/>
      </w:r>
    </w:p>
  </w:footnote>
  <w:footnote w:type="continuationSeparator" w:id="0">
    <w:p w:rsidR="00CE11C5" w:rsidRDefault="00CE1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81"/>
    <w:rsid w:val="00005CE3"/>
    <w:rsid w:val="00013954"/>
    <w:rsid w:val="00013A6F"/>
    <w:rsid w:val="00023238"/>
    <w:rsid w:val="00073C25"/>
    <w:rsid w:val="00080643"/>
    <w:rsid w:val="00093691"/>
    <w:rsid w:val="000A505C"/>
    <w:rsid w:val="000E379B"/>
    <w:rsid w:val="000F401D"/>
    <w:rsid w:val="00106915"/>
    <w:rsid w:val="00136C11"/>
    <w:rsid w:val="00166D43"/>
    <w:rsid w:val="001A1D43"/>
    <w:rsid w:val="001B0909"/>
    <w:rsid w:val="001D2A48"/>
    <w:rsid w:val="002449F8"/>
    <w:rsid w:val="00252781"/>
    <w:rsid w:val="002551E6"/>
    <w:rsid w:val="00294B4B"/>
    <w:rsid w:val="002A5F02"/>
    <w:rsid w:val="002F2B2F"/>
    <w:rsid w:val="00322253"/>
    <w:rsid w:val="0032521D"/>
    <w:rsid w:val="00366069"/>
    <w:rsid w:val="00382083"/>
    <w:rsid w:val="003A0CF8"/>
    <w:rsid w:val="003B27B1"/>
    <w:rsid w:val="00430E23"/>
    <w:rsid w:val="00441E06"/>
    <w:rsid w:val="004513D6"/>
    <w:rsid w:val="00506448"/>
    <w:rsid w:val="00541CE9"/>
    <w:rsid w:val="00547F7F"/>
    <w:rsid w:val="00577C32"/>
    <w:rsid w:val="005844C2"/>
    <w:rsid w:val="00585803"/>
    <w:rsid w:val="005A7891"/>
    <w:rsid w:val="005B202D"/>
    <w:rsid w:val="005B7B1C"/>
    <w:rsid w:val="005C1B1D"/>
    <w:rsid w:val="005D0F95"/>
    <w:rsid w:val="005D72A4"/>
    <w:rsid w:val="006072A4"/>
    <w:rsid w:val="006268A9"/>
    <w:rsid w:val="006E3915"/>
    <w:rsid w:val="0070024A"/>
    <w:rsid w:val="007715B4"/>
    <w:rsid w:val="007742A2"/>
    <w:rsid w:val="007B0385"/>
    <w:rsid w:val="007B799B"/>
    <w:rsid w:val="007D0034"/>
    <w:rsid w:val="007D5945"/>
    <w:rsid w:val="007E3D31"/>
    <w:rsid w:val="0081061E"/>
    <w:rsid w:val="008238B5"/>
    <w:rsid w:val="0084033A"/>
    <w:rsid w:val="00845408"/>
    <w:rsid w:val="00882001"/>
    <w:rsid w:val="00893BE7"/>
    <w:rsid w:val="008A6309"/>
    <w:rsid w:val="008C6F1A"/>
    <w:rsid w:val="008D57DC"/>
    <w:rsid w:val="008D7DB2"/>
    <w:rsid w:val="008F750E"/>
    <w:rsid w:val="008F7795"/>
    <w:rsid w:val="009269C6"/>
    <w:rsid w:val="009318B8"/>
    <w:rsid w:val="00955491"/>
    <w:rsid w:val="009B22B7"/>
    <w:rsid w:val="009C0E5D"/>
    <w:rsid w:val="009C4F27"/>
    <w:rsid w:val="009D4874"/>
    <w:rsid w:val="00A06E50"/>
    <w:rsid w:val="00A276E5"/>
    <w:rsid w:val="00A30DBF"/>
    <w:rsid w:val="00A4764E"/>
    <w:rsid w:val="00A65D23"/>
    <w:rsid w:val="00B03DFF"/>
    <w:rsid w:val="00B22C86"/>
    <w:rsid w:val="00B60110"/>
    <w:rsid w:val="00BA09BF"/>
    <w:rsid w:val="00C27885"/>
    <w:rsid w:val="00C8123B"/>
    <w:rsid w:val="00CC3E5D"/>
    <w:rsid w:val="00CD414A"/>
    <w:rsid w:val="00CE11C5"/>
    <w:rsid w:val="00D12683"/>
    <w:rsid w:val="00D14DF9"/>
    <w:rsid w:val="00D37E6B"/>
    <w:rsid w:val="00D7474D"/>
    <w:rsid w:val="00DC3565"/>
    <w:rsid w:val="00DE00F6"/>
    <w:rsid w:val="00DF019E"/>
    <w:rsid w:val="00E33748"/>
    <w:rsid w:val="00E457B8"/>
    <w:rsid w:val="00E57F7B"/>
    <w:rsid w:val="00E6541F"/>
    <w:rsid w:val="00E659B5"/>
    <w:rsid w:val="00E90F98"/>
    <w:rsid w:val="00EA7059"/>
    <w:rsid w:val="00ED1B15"/>
    <w:rsid w:val="00F01654"/>
    <w:rsid w:val="00F43608"/>
    <w:rsid w:val="00FD1BF6"/>
    <w:rsid w:val="00FF0533"/>
    <w:rsid w:val="00FF2BFF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49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27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A5F0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5F02"/>
  </w:style>
  <w:style w:type="paragraph" w:styleId="Header">
    <w:name w:val="header"/>
    <w:basedOn w:val="Normal"/>
    <w:rsid w:val="007B0385"/>
    <w:pPr>
      <w:tabs>
        <w:tab w:val="center" w:pos="4536"/>
        <w:tab w:val="right" w:pos="9072"/>
      </w:tabs>
    </w:pPr>
  </w:style>
  <w:style w:type="character" w:styleId="Hyperlink">
    <w:name w:val="Hyperlink"/>
    <w:rsid w:val="00D14D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49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27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A5F0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5F02"/>
  </w:style>
  <w:style w:type="paragraph" w:styleId="Header">
    <w:name w:val="header"/>
    <w:basedOn w:val="Normal"/>
    <w:rsid w:val="007B0385"/>
    <w:pPr>
      <w:tabs>
        <w:tab w:val="center" w:pos="4536"/>
        <w:tab w:val="right" w:pos="9072"/>
      </w:tabs>
    </w:pPr>
  </w:style>
  <w:style w:type="character" w:styleId="Hyperlink">
    <w:name w:val="Hyperlink"/>
    <w:rsid w:val="00D14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dzs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85D6-DAE8-418B-A40E-C7D884AB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410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METODOLOŠKA OBJAŠNJENJA</vt:lpstr>
    </vt:vector>
  </TitlesOfParts>
  <Company>GRAD ZAGREB</Company>
  <LinksUpToDate>false</LinksUpToDate>
  <CharactersWithSpaces>3228</CharactersWithSpaces>
  <SharedDoc>false</SharedDoc>
  <HLinks>
    <vt:vector size="6" baseType="variant">
      <vt:variant>
        <vt:i4>8061046</vt:i4>
      </vt:variant>
      <vt:variant>
        <vt:i4>0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METODOLOŠKA OBJAŠNJENJA</dc:title>
  <dc:creator>hperic</dc:creator>
  <cp:lastModifiedBy>Željka Jurčić</cp:lastModifiedBy>
  <cp:revision>26</cp:revision>
  <cp:lastPrinted>2015-03-19T12:57:00Z</cp:lastPrinted>
  <dcterms:created xsi:type="dcterms:W3CDTF">2015-03-13T14:58:00Z</dcterms:created>
  <dcterms:modified xsi:type="dcterms:W3CDTF">2015-03-19T13:27:00Z</dcterms:modified>
</cp:coreProperties>
</file>